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82" w:rsidRDefault="00DE4E82" w:rsidP="00DE4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4E82" w:rsidRPr="004A0566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Администрация</w:t>
      </w:r>
    </w:p>
    <w:p w:rsidR="00DE4E82" w:rsidRPr="004A0566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муниципального образования</w:t>
      </w:r>
    </w:p>
    <w:p w:rsidR="00DE4E82" w:rsidRPr="004A0566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Каменский сельсовет</w:t>
      </w:r>
    </w:p>
    <w:p w:rsidR="00DE4E82" w:rsidRPr="004A0566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4A0566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4A0566">
        <w:rPr>
          <w:rFonts w:asciiTheme="majorHAnsi" w:hAnsiTheme="majorHAnsi" w:cstheme="majorHAnsi"/>
          <w:b/>
          <w:sz w:val="32"/>
          <w:szCs w:val="32"/>
        </w:rPr>
        <w:t xml:space="preserve"> района</w:t>
      </w:r>
    </w:p>
    <w:p w:rsidR="00DE4E82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Оренбургской области</w:t>
      </w:r>
    </w:p>
    <w:p w:rsidR="004A0566" w:rsidRDefault="004A0566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A0566" w:rsidRPr="004A0566" w:rsidRDefault="004A0566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A0566" w:rsidRDefault="00DE4E82" w:rsidP="004A056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ПОСТАНОВЛЕНИЕ</w:t>
      </w:r>
    </w:p>
    <w:p w:rsidR="00DE4E82" w:rsidRDefault="004A0566" w:rsidP="004A0566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27.10</w:t>
      </w:r>
      <w:r w:rsidR="00DE4E82" w:rsidRPr="004A0566">
        <w:rPr>
          <w:rFonts w:asciiTheme="majorHAnsi" w:hAnsiTheme="majorHAnsi" w:cstheme="majorHAnsi"/>
          <w:b/>
          <w:sz w:val="32"/>
          <w:szCs w:val="32"/>
        </w:rPr>
        <w:t xml:space="preserve">.2015  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</w:t>
      </w:r>
      <w:r w:rsidR="00DE4E82" w:rsidRPr="004A0566">
        <w:rPr>
          <w:rFonts w:asciiTheme="majorHAnsi" w:hAnsiTheme="majorHAnsi" w:cstheme="majorHAnsi"/>
          <w:b/>
          <w:sz w:val="32"/>
          <w:szCs w:val="32"/>
        </w:rPr>
        <w:t xml:space="preserve">№ </w:t>
      </w:r>
      <w:r>
        <w:rPr>
          <w:rFonts w:asciiTheme="majorHAnsi" w:hAnsiTheme="majorHAnsi" w:cstheme="majorHAnsi"/>
          <w:b/>
          <w:sz w:val="32"/>
          <w:szCs w:val="32"/>
        </w:rPr>
        <w:t>32</w:t>
      </w:r>
      <w:r w:rsidR="00DE4E82" w:rsidRPr="004A0566">
        <w:rPr>
          <w:rFonts w:asciiTheme="majorHAnsi" w:hAnsiTheme="majorHAnsi" w:cstheme="majorHAnsi"/>
          <w:b/>
          <w:sz w:val="32"/>
          <w:szCs w:val="32"/>
        </w:rPr>
        <w:t>-п</w:t>
      </w:r>
    </w:p>
    <w:p w:rsidR="004A0566" w:rsidRPr="004A0566" w:rsidRDefault="004A0566" w:rsidP="004A0566">
      <w:pPr>
        <w:spacing w:after="0"/>
        <w:rPr>
          <w:rFonts w:asciiTheme="majorHAnsi" w:hAnsiTheme="majorHAnsi" w:cstheme="majorHAnsi"/>
          <w:b/>
          <w:sz w:val="32"/>
          <w:szCs w:val="32"/>
        </w:rPr>
      </w:pPr>
    </w:p>
    <w:p w:rsidR="00DE4E82" w:rsidRPr="004A0566" w:rsidRDefault="00DE4E82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0566">
        <w:rPr>
          <w:rFonts w:asciiTheme="majorHAnsi" w:hAnsiTheme="majorHAnsi" w:cstheme="majorHAnsi"/>
          <w:b/>
          <w:bCs/>
          <w:sz w:val="32"/>
          <w:szCs w:val="32"/>
        </w:rPr>
        <w:t>Об утверждении порядка</w:t>
      </w:r>
    </w:p>
    <w:p w:rsidR="00DE4E82" w:rsidRPr="004A0566" w:rsidRDefault="00DE4E82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0566">
        <w:rPr>
          <w:rFonts w:asciiTheme="majorHAnsi" w:hAnsiTheme="majorHAnsi" w:cstheme="majorHAnsi"/>
          <w:b/>
          <w:bCs/>
          <w:sz w:val="32"/>
          <w:szCs w:val="32"/>
        </w:rPr>
        <w:t>разработки, реализации и</w:t>
      </w:r>
    </w:p>
    <w:p w:rsidR="00DE4E82" w:rsidRPr="004A0566" w:rsidRDefault="00DE4E82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0566">
        <w:rPr>
          <w:rFonts w:asciiTheme="majorHAnsi" w:hAnsiTheme="majorHAnsi" w:cstheme="majorHAnsi"/>
          <w:b/>
          <w:bCs/>
          <w:sz w:val="32"/>
          <w:szCs w:val="32"/>
        </w:rPr>
        <w:t>оценки эффективности</w:t>
      </w:r>
    </w:p>
    <w:p w:rsidR="00DE4E82" w:rsidRDefault="00DE4E82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0566">
        <w:rPr>
          <w:rFonts w:asciiTheme="majorHAnsi" w:hAnsiTheme="majorHAnsi" w:cstheme="majorHAnsi"/>
          <w:b/>
          <w:bCs/>
          <w:sz w:val="32"/>
          <w:szCs w:val="32"/>
        </w:rPr>
        <w:t>муниципальных программ</w:t>
      </w:r>
    </w:p>
    <w:p w:rsidR="004A0566" w:rsidRDefault="004A0566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4A0566" w:rsidRPr="004A0566" w:rsidRDefault="004A0566" w:rsidP="004A0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На основании ст.179 Бюджетного кодекса Российской Федерации: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1. Утвердить </w:t>
      </w:r>
      <w:r w:rsidRPr="004A0566">
        <w:rPr>
          <w:rFonts w:asciiTheme="majorHAnsi" w:hAnsiTheme="majorHAnsi" w:cstheme="majorHAnsi"/>
          <w:bCs/>
          <w:sz w:val="24"/>
          <w:szCs w:val="24"/>
        </w:rPr>
        <w:t>порядок разработки, реализации и оценки эффективности муниципальных программ</w:t>
      </w:r>
      <w:r w:rsidRPr="004A0566">
        <w:rPr>
          <w:rFonts w:asciiTheme="majorHAnsi" w:hAnsiTheme="majorHAnsi" w:cstheme="majorHAnsi"/>
          <w:sz w:val="24"/>
          <w:szCs w:val="24"/>
        </w:rPr>
        <w:t xml:space="preserve"> (приложение).</w:t>
      </w:r>
    </w:p>
    <w:p w:rsidR="00DE4E82" w:rsidRPr="004A0566" w:rsidRDefault="00DE4E82" w:rsidP="00DE4E82">
      <w:pPr>
        <w:pStyle w:val="ad"/>
        <w:ind w:firstLine="567"/>
        <w:jc w:val="both"/>
        <w:rPr>
          <w:rFonts w:asciiTheme="majorHAnsi" w:hAnsiTheme="majorHAnsi" w:cstheme="majorHAnsi"/>
          <w:szCs w:val="24"/>
        </w:rPr>
      </w:pPr>
      <w:r w:rsidRPr="004A0566">
        <w:rPr>
          <w:rFonts w:asciiTheme="majorHAnsi" w:hAnsiTheme="majorHAnsi" w:cstheme="majorHAnsi"/>
          <w:szCs w:val="24"/>
        </w:rPr>
        <w:t>2. Контроль исполнения настоящего постановления оставляю за собой.</w:t>
      </w:r>
    </w:p>
    <w:p w:rsidR="00DE4E82" w:rsidRPr="004A0566" w:rsidRDefault="00DE4E82" w:rsidP="00DE4E82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3. Настоящее постановление вступает в силу со дня подписания и             подлежит размещению на официальном сайте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4A0566" w:rsidRDefault="004A0566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A0566" w:rsidRDefault="004A0566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A0566" w:rsidRDefault="004A0566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4A0566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4A0566">
        <w:rPr>
          <w:rFonts w:asciiTheme="majorHAnsi" w:hAnsiTheme="majorHAnsi" w:cstheme="majorHAnsi"/>
          <w:bCs/>
          <w:sz w:val="24"/>
          <w:szCs w:val="24"/>
        </w:rPr>
        <w:t xml:space="preserve">Глава муниципального образования:                                </w:t>
      </w:r>
      <w:r w:rsidR="004A0566">
        <w:rPr>
          <w:rFonts w:asciiTheme="majorHAnsi" w:hAnsiTheme="majorHAnsi" w:cstheme="majorHAnsi"/>
          <w:bCs/>
          <w:sz w:val="24"/>
          <w:szCs w:val="24"/>
        </w:rPr>
        <w:t xml:space="preserve">                    </w:t>
      </w:r>
      <w:r w:rsidRPr="004A0566">
        <w:rPr>
          <w:rFonts w:asciiTheme="majorHAnsi" w:hAnsiTheme="majorHAnsi" w:cstheme="majorHAnsi"/>
          <w:bCs/>
          <w:sz w:val="24"/>
          <w:szCs w:val="24"/>
        </w:rPr>
        <w:t xml:space="preserve">В.И. Гурьянова                                                       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Разослано: в дело, администрации района, прокуратуре района</w:t>
      </w:r>
    </w:p>
    <w:p w:rsidR="00DE4E82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A0566" w:rsidRPr="004A0566" w:rsidRDefault="004A0566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tabs>
          <w:tab w:val="left" w:pos="4680"/>
        </w:tabs>
        <w:spacing w:after="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 xml:space="preserve">Приложение </w:t>
      </w:r>
      <w:proofErr w:type="gramStart"/>
      <w:r w:rsidRPr="004A0566">
        <w:rPr>
          <w:rFonts w:asciiTheme="majorHAnsi" w:hAnsiTheme="majorHAnsi" w:cstheme="majorHAnsi"/>
          <w:b/>
          <w:sz w:val="32"/>
          <w:szCs w:val="32"/>
        </w:rPr>
        <w:t>к</w:t>
      </w:r>
      <w:proofErr w:type="gramEnd"/>
      <w:r w:rsidRPr="004A0566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DE4E82" w:rsidRPr="004A0566" w:rsidRDefault="00DE4E82" w:rsidP="00DE4E82">
      <w:pPr>
        <w:tabs>
          <w:tab w:val="left" w:pos="4680"/>
        </w:tabs>
        <w:spacing w:after="0"/>
        <w:ind w:firstLine="567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постановлению                  администрации</w:t>
      </w:r>
    </w:p>
    <w:p w:rsidR="00DE4E82" w:rsidRPr="004A0566" w:rsidRDefault="00DE4E82" w:rsidP="00DE4E82">
      <w:pPr>
        <w:tabs>
          <w:tab w:val="left" w:pos="4680"/>
        </w:tabs>
        <w:spacing w:after="0"/>
        <w:ind w:firstLine="567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>Каменского сельсовета</w:t>
      </w:r>
    </w:p>
    <w:p w:rsidR="004A0566" w:rsidRPr="004A0566" w:rsidRDefault="004A0566" w:rsidP="004A0566">
      <w:pPr>
        <w:tabs>
          <w:tab w:val="left" w:pos="4680"/>
        </w:tabs>
        <w:spacing w:after="0"/>
        <w:ind w:firstLine="567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4A0566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E4E82" w:rsidRPr="004A0566">
        <w:rPr>
          <w:rFonts w:asciiTheme="majorHAnsi" w:hAnsiTheme="majorHAnsi" w:cstheme="majorHAnsi"/>
          <w:b/>
          <w:sz w:val="32"/>
          <w:szCs w:val="32"/>
        </w:rPr>
        <w:t xml:space="preserve"> от 27.10.2015</w:t>
      </w:r>
      <w:r w:rsidRPr="004A0566">
        <w:rPr>
          <w:rFonts w:asciiTheme="majorHAnsi" w:hAnsiTheme="majorHAnsi" w:cstheme="majorHAnsi"/>
          <w:b/>
          <w:sz w:val="32"/>
          <w:szCs w:val="32"/>
        </w:rPr>
        <w:t xml:space="preserve"> № 32-п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0566">
        <w:rPr>
          <w:rFonts w:asciiTheme="majorHAnsi" w:hAnsiTheme="majorHAnsi" w:cstheme="majorHAnsi"/>
          <w:b/>
          <w:bCs/>
          <w:sz w:val="24"/>
          <w:szCs w:val="24"/>
        </w:rPr>
        <w:t>ПОРЯДОК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разработки, реализации и оценки эффективности муниципальных программ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b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b/>
          <w:sz w:val="24"/>
          <w:szCs w:val="24"/>
        </w:rPr>
        <w:t xml:space="preserve"> района  Оренбургской области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(далее – Порядок)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I. ОБЩИЕ ПОЛОЖЕНИЯ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1.1. Настоящий Порядок определяет правила разработки муниципальных программ муниципального образования 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района, реализации и проведения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1.2. В целях настоящего Порядка применяются следующие понятия: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муниципальная программа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(далее – муниципальная программа);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ответственный исполнитель муниципальной программы – администрация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района; 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участник муниципальной программы – главный распорядитель бюджетных средств, участвующий в реализации одного или нескольких основных мероприятий муниципальной программы (подпрограммы). 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1.3. Для муниципальной программы формулируется одна цель, которая должна соответствовать приоритетам и целям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в соответствующей сфере и определять конечные результаты реализации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1.4. Муниципальная программа включает в себя подпрограммы и (или) отдельные мероприятия, направленные на решение конкретных задач в рамках муниципальной программы (далее – основные мероприятия).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Мероприятия одной муниципальной программы не могут быть одновременно включены в другие муниципальные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1.5. Муниципальные программы утверждаются постановлением администрации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II. ТРЕБОВАНИЯ К СОДЕРЖАНИЮ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2.1. Муниципальные программы разрабатываются для достижения приоритетов и целей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района, определенных в стратегии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района, прогнозе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района, бюджетном прогнозе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на долгосрочный период.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При формировании муниципальных программ могут учитываться цели, задачи и мероприятия государственных программ Оренбургской области, реализуемых в соответствующих сферах на территории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 Муниципальная программа имеет следующую структуру: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2.2.1. Паспорт муниципальной программы по форме согласно приложению № 1 к настоящему Порядку;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2.2.2. Текстовая часть муниципальной программы, включающая следующие разделы: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2.2.2.1. Общая характеристика соответствующей сферы реализации муниципальной программы.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2.2.2.2. Приоритеты политики органов местного самоуправления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в сфере реализации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 xml:space="preserve">Приоритеты указываются в соответствии со стратегией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района, прогнозом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 xml:space="preserve">на долгосрочный период (в случае принятия решения о его разработке), бюджетным прогнозом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  на долгосрочный период (в случае принятия решения о его разработке).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0" w:name="Par64"/>
      <w:bookmarkEnd w:id="0"/>
      <w:r w:rsidRPr="004A0566">
        <w:rPr>
          <w:rFonts w:asciiTheme="majorHAnsi" w:hAnsiTheme="majorHAnsi" w:cstheme="majorHAnsi"/>
          <w:sz w:val="24"/>
          <w:szCs w:val="24"/>
        </w:rPr>
        <w:t>2.2.2.3. Перечень показателей (индикаторов)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Раздел содержит описание системы плановых показателей (индикаторов) муниципальной программы, которые должны характеризовать ход ее реализации, решение задач и достижение цели муниципальной программы, а также: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отражать специфику развития определенной сферы социально-экономического развития, проблем и задач, на решение которых направлена реализация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иметь количественное значение;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определяться на основе данных государственного статистического наблюдения, отчетных данных ответственных исполнителей и соисполнителей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отражать основные параметры муниципального задания в части качества и объема предоставляемых муниципальных услуг и (или) выполняемых работ (при их наличии).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2.2.2.4. Перечень основных мероприятий муниципальной программы. Основное мероприятие направлено на решение конкретной задачи программы (подпрограммы); на решение одной задачи может быть направлено несколько основных мероприятий.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Наименования основных мероприятий не могут дублировать наименования целей и задач муниципальной программы (подпрограмм).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программы и другие).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Перечень основных мероприятий приводится в приложении к муниципальной программе по форме согласно таблице 2 приложения № 3 к настоящему Порядку.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1" w:name="Par105"/>
      <w:bookmarkEnd w:id="1"/>
      <w:r w:rsidRPr="004A0566">
        <w:rPr>
          <w:rFonts w:asciiTheme="majorHAnsi" w:hAnsiTheme="majorHAnsi" w:cstheme="majorHAnsi"/>
          <w:sz w:val="24"/>
          <w:szCs w:val="24"/>
        </w:rPr>
        <w:t>2.2.2.5. Ресурсное обеспечение реализации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Информация о ресурсном обеспечении реализации муниципальной программы за счет средств местного бюджета с расшифровкой по главным распорядителям бюджетных средств, подпрограммам (при наличии), основным мероприятиям, а также по годам реализации муниципальной программы приводится в приложении к муниципальной программе по форме согласно таблице 3 приложения № 3 к настоящему Порядку.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2.2.2.6. В случае предъявления органом исполнительной власти Оренбургской области особых требований к структуре муниципальной программы, разрабатываемой в сфере компетенции органа исполнительной власти Оренбургской области и претендующей на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софинансирование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ее мероприятий из областного бюджета, в структуре программы допускаются отступления от требований, установленных настоящим Порядком.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2.2.3.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2.2.3.1. Подпрограмма направлена на достижение цели и решение задач соответствующей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2.2.3.2. Подпрограмма оформляется в виде приложения к муниципальной программе и содержит: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а) паспорт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б) текстовую часть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2" w:name="Par117"/>
      <w:bookmarkEnd w:id="2"/>
      <w:r w:rsidRPr="004A0566">
        <w:rPr>
          <w:rFonts w:asciiTheme="majorHAnsi" w:hAnsiTheme="majorHAnsi" w:cstheme="majorHAnsi"/>
          <w:sz w:val="24"/>
          <w:szCs w:val="24"/>
        </w:rPr>
        <w:t>2.2.3.3. Паспорт подпрограммы оформляется по форме согласно приложению № 2.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2.2.3.4. Текстовая часть подпрограммы состоит из следующих разделов: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а) общая характеристика соответствующей сферы реализации подпрограммы.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б) приоритеты политики органов местного самоуправления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в сфере реализации подпрограммы, цель, задачи и показатели (индикаторы) их достижения;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в) перечень и характеристика основных мероприятий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В разделе отражаются перечень и характеристики основных мероприятий подпрограммы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Основное мероприятие направлено на решение конкретной задачи подпрограммы; на решение одной задачи может быть направлено несколько основных мероприятий.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подпрограммы;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г) информация о ресурсном обеспечении подпрограммы за счет средств местного бюджета с расшифровкой по главным распорядителям бюджетных средств, основным мероприятиям подпрограммы, а также по годам ее реализации.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Раздел содержит описание порядка привлечения внебюджетных источников в случае их наличия;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д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) информация о значимости подпрограммы для достижения целей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В разделе отражается коэффициент значимости подпрограммы для достижения целей муниципальной программы, определяемый экспертным методом.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2.3. При необходимости муниципальная программа содержит иные разделы по формам, согласованным с отделом экономического анализа и прогнозирования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2.4. При подготовке муниципальной программы, внесении изменений в муниципальную программу представляется дополнительный и обосновывающий материал, согласованный с соисполнителями и утвержденный ответственным исполнителем, состоящий из следующих разделов: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2.4.1. Прогноз сводных показателей муниципальных заданий (при оказании муниципальными учреждениями муниципальных услуг (выполнении работ) в рамках муниципальной программы) приводится по </w:t>
      </w:r>
      <w:hyperlink w:anchor="Par833" w:history="1">
        <w:r w:rsidRPr="004A0566">
          <w:rPr>
            <w:rFonts w:asciiTheme="majorHAnsi" w:hAnsiTheme="majorHAnsi" w:cstheme="majorHAnsi"/>
            <w:sz w:val="24"/>
            <w:szCs w:val="24"/>
          </w:rPr>
          <w:t>форме</w:t>
        </w:r>
      </w:hyperlink>
      <w:r w:rsidRPr="004A0566">
        <w:rPr>
          <w:rFonts w:asciiTheme="majorHAnsi" w:hAnsiTheme="majorHAnsi" w:cstheme="majorHAnsi"/>
          <w:sz w:val="24"/>
          <w:szCs w:val="24"/>
        </w:rPr>
        <w:t xml:space="preserve"> согласно таблице 4 приложения № 3 к настоящему Порядку;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2.4.2. Анализ рисков реализации муниципальной программы и описание мер управления рисками.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предусматривает: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качественную и количественную оценку факторов рисков;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обоснование предложений по мерам управления рисками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2.4.3. Сведения об основных мерах правового регулирования.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 xml:space="preserve">В качестве мер правового регулирования в сфере реализации муниципальной программы приводятся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органов местного самоуправления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 в соответствии с таблицей 5 приложения № 3 к настоящему Порядку;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2.4.4. План реализации муниципальной программы в соответствии с таблицей 6 приложения № 3 к настоящему Порядку.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III. ОСНОВАНИЕ И ЭТАПЫ РАЗРАБОТКИ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3.1. Разработка муниципальной программы осуществляется на основании перечня муниципальных программ, утверждаемого постановлением администрации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(далее – Перечень).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3.2. Проект Перечня формируется в соответствии с основными приоритетами и направлениями социально-экономического развития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Сакмарский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 на основании предложений вносимых депутатами, населением.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3.3. Перечень содержит: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наименования муниципальных программ;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наименования ответственных исполнителей муниципальных программ, соисполнителей муниципальных программ;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сроки реализации муниципальных программ;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основные направления реализации муниципальных программ.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3.4. Разработка и реализация муниципальной программы осуществляется ответственным исполнителем, совместно с соисполнителями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3.5. Проекты разрабатываемых муниципальных программ, а также проекты постановлений администрации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о внесении изменений в муниципальные программы, предусматривающие включение в их состав новых подпрограмм подлежат обязательному общественному обсуждению.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3.6. Общественное обсуждение проводится в одной из следующих форм: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вынесение проекта муниципальной программы для обсуждения на собрание граждан поселения, заседание   совета депутатов; 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размещение проекта муниципальной программы на официальном сайте ответственного исполнителя в информационно-телекоммуникационной сети Интернет (далее –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проекту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3.7. Замечания и предложения, поступившие в ходе общественного обсуждения проекта муниципальной программы, должны быть рассмотрены ответственным исполнителем.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Результаты общественного обсуждения отражаются в составе пояснительной записки к проекту постановления администрации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об утверждении муниципальной программы (внесении изменений в муниципальную программу).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3" w:name="Par148"/>
      <w:bookmarkEnd w:id="3"/>
      <w:r w:rsidRPr="004A0566">
        <w:rPr>
          <w:rFonts w:asciiTheme="majorHAnsi" w:hAnsiTheme="majorHAnsi" w:cstheme="majorHAnsi"/>
          <w:sz w:val="24"/>
          <w:szCs w:val="24"/>
        </w:rPr>
        <w:t xml:space="preserve">3.8. Проект муниципальной программы (внесения изменений в муниципальную программу) после предварительного согласования с соисполнителями и участниками направляется для проведения экспертизы в контрольно-счетной палате муниципального образования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Сакмарский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3.9. После получения заключения контрольно-счетной палаты муниципального образования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Сакмарский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 проект муниципальной программы (внесения изменений в муниципальную программу) для согласования представляется в финансовый отдел и отдел экономического анализа и прогнозирования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К проекту муниципальной программы (внесения изменений в муниципальную программу) прилагаются пояснительная записка, дополнительные и обосновывающие материалы, указанные в пункте 2.4 раздела II настоящего Порядка, а также заключение контрольно-счетной палаты муниципального образования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Сакмарский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4" w:name="Par161"/>
      <w:bookmarkStart w:id="5" w:name="Par162"/>
      <w:bookmarkStart w:id="6" w:name="Par163"/>
      <w:bookmarkEnd w:id="4"/>
      <w:bookmarkEnd w:id="5"/>
      <w:bookmarkEnd w:id="6"/>
      <w:r w:rsidRPr="004A0566">
        <w:rPr>
          <w:rFonts w:asciiTheme="majorHAnsi" w:hAnsiTheme="majorHAnsi" w:cstheme="majorHAnsi"/>
          <w:sz w:val="24"/>
          <w:szCs w:val="24"/>
        </w:rPr>
        <w:t xml:space="preserve">3.10. Согласованный в соответствии с пунктами 3.8-3.9 раздела </w:t>
      </w:r>
      <w:r w:rsidRPr="004A0566">
        <w:rPr>
          <w:rFonts w:asciiTheme="majorHAnsi" w:hAnsiTheme="majorHAnsi" w:cstheme="majorHAnsi"/>
          <w:sz w:val="24"/>
          <w:szCs w:val="24"/>
          <w:lang w:val="en-US"/>
        </w:rPr>
        <w:t>III</w:t>
      </w:r>
      <w:r w:rsidRPr="004A0566">
        <w:rPr>
          <w:rFonts w:asciiTheme="majorHAnsi" w:hAnsiTheme="majorHAnsi" w:cstheme="majorHAnsi"/>
          <w:sz w:val="24"/>
          <w:szCs w:val="24"/>
        </w:rPr>
        <w:t xml:space="preserve"> настоящего Порядка проект муниципальной программы (изменений в муниципальную программу) представляется ответственным исполнителем на утверждение.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3.11. 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местного бюджета 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lastRenderedPageBreak/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об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местном бюджете на рассмотрение Совета депутатов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7" w:name="Par175"/>
      <w:bookmarkEnd w:id="7"/>
      <w:r w:rsidRPr="004A0566">
        <w:rPr>
          <w:rFonts w:asciiTheme="majorHAnsi" w:hAnsiTheme="majorHAnsi" w:cstheme="majorHAnsi"/>
          <w:b/>
          <w:sz w:val="24"/>
          <w:szCs w:val="24"/>
        </w:rPr>
        <w:t>IV. ФИНАНСОВОЕ ОБЕСПЕЧЕНИЕ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РЕАЛИЗАЦИИ МУНИЦИПАЛЬНЫХ 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4.1. Финансовое обеспечение реализации муниципальных программ в части расходных обязательств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осуществляется за счет средств местного бюджета (далее –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о местном бюджете на очередной финансовый год и плановый период.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4.2. 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период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и порядок планирования бюджетных ассигнований.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4.3. Объемы финансового обеспечения реализации муниципальных программ подлежат приведению в соответствие с решением Совета депутатов муниципального образования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 о местном бюджете на очередной финансовый год и плановый период не позднее трех месяцев со дня вступления указанного решения в силу.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показатели (индикаторы) и ожидаемые результаты реализации соответствующей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>В ходе исполнения местного бюджета показатели финансового обеспечения реализации муниципальных программ, в том числе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местного бюджета бюджетным законодательством Российской Федерации, Оренбургской области и (или) порядком составления и ведения сводной бюджетной росписи местного бюджета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>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4.4. 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20 декабря текущего финансового года.</w:t>
      </w: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V. УПРАВЛЕНИЕ И КОНТРОЛЬ</w:t>
      </w:r>
    </w:p>
    <w:p w:rsidR="00DE4E82" w:rsidRPr="004A0566" w:rsidRDefault="00DE4E82" w:rsidP="00DE4E82">
      <w:pPr>
        <w:keepNext/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ЗА РЕАЛИЗАЦИЕЙ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5.1. Текущее управление реализацией муниципальной программы осуществляется ответственным исполнителем совместно с соисполнителями.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Реализация муниципальной программы осуществляется в соответствии с утвержденным планом ее реализации.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5.2. Ответственный исполнитель: 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 xml:space="preserve">а) ежеквартально в срок до 20 числа месяца, следующего за отчетным кварталом, а также по запросу представляет в отдел экономического анализа и прогнозирования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после согласования с </w:t>
      </w:r>
      <w:r w:rsidRPr="004A0566">
        <w:rPr>
          <w:rFonts w:asciiTheme="majorHAnsi" w:hAnsiTheme="majorHAnsi" w:cstheme="majorHAnsi"/>
          <w:sz w:val="24"/>
          <w:szCs w:val="24"/>
        </w:rPr>
        <w:lastRenderedPageBreak/>
        <w:t xml:space="preserve">финансовым отделом 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отчеты по форме согласно таблицам 7, 8 приложения № 3 к настоящему Порядку, заполняемые нарастающим итогом с начала финансового года;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 xml:space="preserve">б) подготавливает годовой отчет о ходе реализации и оценке эффективности реализации муниципальной программы (далее – годовой отчет) и представляет его в отдел экономического анализа и прогнозирования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после согласования с финансовым отделом 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в срок не позднее 15 марта года, следующего за отчетным финансовым годом с приложением по форме согласно таблицам 7, 8, 9 приложения № 3;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в) ежегодно проводит оценку эффективности реализации муниципальной программы в соответствии с методикой, согласно приложению № 4 к настоящему Порядку и представляет его в отдел экономического анализа и прогнозирования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в срок не позднее 15 марта года, следующего за отчетным финансовым годом;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г) несет ответственность за достижение показателей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5.3. Соисполнители: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а) представляют в установленный срок ответственному исполнителю информацию о ходе реализации мероприятий подпрограмм, отдельных мероприятий, в реализации которых принимают участие;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A0566">
        <w:rPr>
          <w:rFonts w:asciiTheme="majorHAnsi" w:hAnsiTheme="majorHAnsi" w:cstheme="majorHAnsi"/>
          <w:sz w:val="24"/>
          <w:szCs w:val="24"/>
        </w:rPr>
        <w:t>б) представляют в срок до 15 февраля года, следующего за отчетным, ответственному исполнителю информацию, необходимую для проведения оценки эффективности реализации муниципальных программ и подготовки годовых отчетов;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в) несут ответственность за достижение показателей подпрограмм и отдельных мероприятий, в реализации которых принимают участие.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5.4. Бухгалтерия    администрации Каменского сельсовета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разрабатывает и согласовывает с финансовым отделом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ежегодно, до 20 апреля года, следующего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за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отчетным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и представляет главе муниципального образования  Каменский 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5.4.1. Годовой отчет о реализации муниципальных программ, который содержит: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сведения о достижении показателей (индикаторов) муниципальных программ (подпрограмм) за отчетный год;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сведения о ресурсном обеспечении муниципальных программ (подпрограмм) за отчетный год;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результаты оценки эффективности реализации муниципальных программ за отчетный год.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Годовой отчет о реализации муниципальных программ утверждается постановлением администрации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муниципального образования Каменский сельсовет 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5.5. В случае принятия администрацией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муниципального образования Каменский сельсовет 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решения о продолжении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5.6. Информация годового отчета о ходе реализации и оценке эффективности муниципальных программ в течение 10 дней после его рассмотрения администрацией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муниципального образования Каменский </w:t>
      </w:r>
      <w:r w:rsidRPr="004A0566">
        <w:rPr>
          <w:rFonts w:asciiTheme="majorHAnsi" w:hAnsiTheme="majorHAnsi" w:cstheme="majorHAnsi"/>
          <w:sz w:val="24"/>
          <w:szCs w:val="24"/>
        </w:rPr>
        <w:lastRenderedPageBreak/>
        <w:t xml:space="preserve">сельсовет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 района  подлежит размещению на официальном сайте администрации</w:t>
      </w:r>
      <w:r w:rsidRPr="004A056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 xml:space="preserve">муниципального образования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Сакмарский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 в сети Интернет.</w:t>
      </w:r>
    </w:p>
    <w:p w:rsidR="004A0566" w:rsidRDefault="004A0566" w:rsidP="004A0566">
      <w:pPr>
        <w:rPr>
          <w:rFonts w:asciiTheme="majorHAnsi" w:hAnsiTheme="majorHAnsi" w:cstheme="majorHAnsi"/>
          <w:sz w:val="24"/>
          <w:szCs w:val="24"/>
        </w:rPr>
      </w:pPr>
      <w:bookmarkStart w:id="8" w:name="Par246"/>
      <w:bookmarkEnd w:id="8"/>
    </w:p>
    <w:p w:rsidR="004A0566" w:rsidRDefault="004A0566" w:rsidP="004A056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</w:t>
      </w:r>
      <w:r w:rsidR="00DE4E82" w:rsidRPr="004A0566">
        <w:rPr>
          <w:rFonts w:asciiTheme="majorHAnsi" w:hAnsiTheme="majorHAnsi" w:cstheme="majorHAnsi"/>
          <w:sz w:val="24"/>
          <w:szCs w:val="24"/>
        </w:rPr>
        <w:t>Приложение №</w:t>
      </w:r>
      <w:r>
        <w:rPr>
          <w:rFonts w:asciiTheme="majorHAnsi" w:hAnsiTheme="majorHAnsi" w:cstheme="majorHAnsi"/>
          <w:sz w:val="24"/>
          <w:szCs w:val="24"/>
        </w:rPr>
        <w:t xml:space="preserve"> 1 </w:t>
      </w:r>
    </w:p>
    <w:p w:rsidR="00DE4E82" w:rsidRPr="004A0566" w:rsidRDefault="004A0566" w:rsidP="004A056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</w:t>
      </w:r>
      <w:r w:rsidR="00DE4E82" w:rsidRPr="004A0566">
        <w:rPr>
          <w:rFonts w:asciiTheme="majorHAnsi" w:hAnsiTheme="majorHAnsi" w:cstheme="majorHAnsi"/>
          <w:sz w:val="24"/>
          <w:szCs w:val="24"/>
        </w:rPr>
        <w:t>к Порядку</w:t>
      </w:r>
    </w:p>
    <w:p w:rsidR="00DE4E82" w:rsidRPr="004A0566" w:rsidRDefault="00DE4E82" w:rsidP="004A0566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разработки, реализации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 оценки эффективности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муниципальных 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9" w:name="Par253"/>
      <w:bookmarkEnd w:id="9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ПАСПОРТ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_______________________________________________________ </w:t>
      </w:r>
      <w:r w:rsidRPr="004A0566">
        <w:rPr>
          <w:rFonts w:asciiTheme="majorHAnsi" w:hAnsiTheme="majorHAnsi" w:cstheme="majorHAnsi"/>
          <w:i/>
          <w:sz w:val="24"/>
          <w:szCs w:val="24"/>
        </w:rPr>
        <w:t>(наименование муниципальной программы)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5"/>
        <w:gridCol w:w="4535"/>
      </w:tblGrid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Участники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Подпрограммы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0" w:name="Par260"/>
            <w:bookmarkEnd w:id="10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Цель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Задачи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4A0566" w:rsidP="00E876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</w:t>
      </w:r>
      <w:r w:rsidR="00DE4E82" w:rsidRPr="004A0566">
        <w:rPr>
          <w:rFonts w:asciiTheme="majorHAnsi" w:hAnsiTheme="majorHAnsi" w:cstheme="majorHAnsi"/>
          <w:sz w:val="24"/>
          <w:szCs w:val="24"/>
        </w:rPr>
        <w:t>Приложение № 2</w:t>
      </w:r>
    </w:p>
    <w:p w:rsidR="00DE4E82" w:rsidRPr="004A0566" w:rsidRDefault="00DE4E82" w:rsidP="00E876E5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к Порядку</w:t>
      </w:r>
    </w:p>
    <w:p w:rsidR="00DE4E82" w:rsidRPr="004A0566" w:rsidRDefault="00DE4E82" w:rsidP="00E876E5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разработки, реализации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 оценки эффективности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муниципальных 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ПАСПОРТ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подпрограммы ____________ </w:t>
      </w:r>
      <w:r w:rsidRPr="004A0566">
        <w:rPr>
          <w:rFonts w:asciiTheme="majorHAnsi" w:hAnsiTheme="majorHAnsi" w:cstheme="majorHAnsi"/>
          <w:i/>
          <w:sz w:val="24"/>
          <w:szCs w:val="24"/>
        </w:rPr>
        <w:t>(наименование подпрограммы)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муниципальной программы __________ </w:t>
      </w:r>
      <w:r w:rsidRPr="004A0566">
        <w:rPr>
          <w:rFonts w:asciiTheme="majorHAnsi" w:hAnsiTheme="majorHAnsi" w:cstheme="majorHAnsi"/>
          <w:i/>
          <w:sz w:val="24"/>
          <w:szCs w:val="24"/>
        </w:rPr>
        <w:t>(наименование муниципальной программы)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5"/>
        <w:gridCol w:w="4535"/>
      </w:tblGrid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Цель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Задачи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53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  <w:sectPr w:rsidR="00DE4E82" w:rsidRPr="004A0566" w:rsidSect="004A056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E4E82" w:rsidRPr="00E876E5" w:rsidRDefault="00DE4E82" w:rsidP="00DE4E82">
      <w:pPr>
        <w:autoSpaceDE w:val="0"/>
        <w:autoSpaceDN w:val="0"/>
        <w:adjustRightInd w:val="0"/>
        <w:spacing w:after="0" w:line="240" w:lineRule="auto"/>
        <w:ind w:left="11340"/>
        <w:outlineLvl w:val="1"/>
        <w:rPr>
          <w:rFonts w:asciiTheme="majorHAnsi" w:hAnsiTheme="majorHAnsi" w:cstheme="majorHAnsi"/>
          <w:sz w:val="24"/>
          <w:szCs w:val="24"/>
        </w:rPr>
      </w:pPr>
      <w:r w:rsidRPr="00E876E5">
        <w:rPr>
          <w:rFonts w:asciiTheme="majorHAnsi" w:hAnsiTheme="majorHAnsi" w:cstheme="majorHAnsi"/>
          <w:sz w:val="24"/>
          <w:szCs w:val="24"/>
        </w:rPr>
        <w:lastRenderedPageBreak/>
        <w:t>Приложение № 3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11340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к Порядку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11340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разработки, реализации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11340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 оценки эффективности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11340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муниципальных 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bookmarkStart w:id="11" w:name="Par279"/>
      <w:bookmarkEnd w:id="11"/>
      <w:r w:rsidRPr="004A0566">
        <w:rPr>
          <w:rFonts w:asciiTheme="majorHAnsi" w:hAnsiTheme="majorHAnsi" w:cstheme="majorHAnsi"/>
          <w:sz w:val="24"/>
          <w:szCs w:val="24"/>
        </w:rPr>
        <w:t>Таблица 1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2" w:name="Par281"/>
      <w:bookmarkEnd w:id="12"/>
      <w:r w:rsidRPr="004A0566">
        <w:rPr>
          <w:rFonts w:asciiTheme="majorHAnsi" w:hAnsiTheme="majorHAnsi" w:cstheme="majorHAnsi"/>
          <w:b/>
          <w:sz w:val="24"/>
          <w:szCs w:val="24"/>
        </w:rPr>
        <w:t>СВЕДЕНИЯ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 показателях (индикаторах) муниципальной программы,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подпрограмм муниципальной программы и их </w:t>
      </w:r>
      <w:proofErr w:type="gramStart"/>
      <w:r w:rsidRPr="004A0566">
        <w:rPr>
          <w:rFonts w:asciiTheme="majorHAnsi" w:hAnsiTheme="majorHAnsi" w:cstheme="majorHAnsi"/>
          <w:b/>
          <w:sz w:val="24"/>
          <w:szCs w:val="24"/>
        </w:rPr>
        <w:t>значениях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864"/>
        <w:gridCol w:w="1671"/>
        <w:gridCol w:w="1620"/>
        <w:gridCol w:w="1440"/>
        <w:gridCol w:w="1620"/>
        <w:gridCol w:w="2160"/>
        <w:gridCol w:w="1927"/>
      </w:tblGrid>
      <w:tr w:rsidR="00DE4E82" w:rsidRPr="004A0566" w:rsidTr="004A0566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Значения показателей</w:t>
            </w:r>
          </w:p>
        </w:tc>
      </w:tr>
      <w:tr w:rsidR="00DE4E82" w:rsidRPr="004A0566" w:rsidTr="004A0566">
        <w:trPr>
          <w:trHeight w:hRule="exact" w:val="9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очередной год (первый год реализации)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Последний год реализации</w:t>
            </w:r>
          </w:p>
        </w:tc>
      </w:tr>
      <w:tr w:rsidR="00DE4E82" w:rsidRPr="004A0566" w:rsidTr="004A0566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3" w:name="Par294"/>
            <w:bookmarkEnd w:id="13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Муниципальная программа</w:t>
            </w:r>
          </w:p>
        </w:tc>
      </w:tr>
      <w:tr w:rsidR="00DE4E82" w:rsidRPr="004A0566" w:rsidTr="004A0566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4" w:name="Par311"/>
            <w:bookmarkEnd w:id="14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Подпрограмма 1</w:t>
            </w:r>
          </w:p>
        </w:tc>
      </w:tr>
      <w:tr w:rsidR="00DE4E82" w:rsidRPr="004A0566" w:rsidTr="004A0566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Основное мероприятие 1</w:t>
            </w:r>
          </w:p>
        </w:tc>
      </w:tr>
      <w:tr w:rsidR="00DE4E82" w:rsidRPr="004A0566" w:rsidTr="004A0566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5" w:name="Par330"/>
            <w:bookmarkStart w:id="16" w:name="Par379"/>
            <w:bookmarkEnd w:id="15"/>
            <w:bookmarkEnd w:id="16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  <w:r w:rsidRPr="004A0566">
        <w:rPr>
          <w:rFonts w:asciiTheme="majorHAnsi" w:hAnsiTheme="majorHAnsi" w:cstheme="majorHAnsi"/>
          <w:i/>
          <w:sz w:val="24"/>
          <w:szCs w:val="24"/>
        </w:rPr>
        <w:br w:type="page"/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2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7" w:name="Par381"/>
      <w:bookmarkEnd w:id="17"/>
      <w:r w:rsidRPr="004A0566">
        <w:rPr>
          <w:rFonts w:asciiTheme="majorHAnsi" w:hAnsiTheme="majorHAnsi" w:cstheme="majorHAnsi"/>
          <w:b/>
          <w:sz w:val="24"/>
          <w:szCs w:val="24"/>
        </w:rPr>
        <w:t>ПЕРЕЧЕНЬ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основных мероприятий муниципальной программы</w:t>
      </w:r>
    </w:p>
    <w:tbl>
      <w:tblPr>
        <w:tblW w:w="151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155"/>
        <w:gridCol w:w="1985"/>
        <w:gridCol w:w="1390"/>
        <w:gridCol w:w="1587"/>
        <w:gridCol w:w="2608"/>
        <w:gridCol w:w="2239"/>
        <w:gridCol w:w="2494"/>
      </w:tblGrid>
      <w:tr w:rsidR="00DE4E82" w:rsidRPr="004A0566" w:rsidTr="004A056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Срок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Последствия 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нереализации</w:t>
            </w:r>
            <w:proofErr w:type="spell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8" w:name="Par391"/>
            <w:bookmarkEnd w:id="18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Связь с показателями муниципальной программы (подпрограммы) &lt;*&gt;</w:t>
            </w:r>
          </w:p>
        </w:tc>
      </w:tr>
      <w:tr w:rsidR="00DE4E82" w:rsidRPr="004A0566" w:rsidTr="004A056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9" w:name="Par394"/>
            <w:bookmarkEnd w:id="19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Подпрограмма 1</w:t>
            </w:r>
          </w:p>
        </w:tc>
      </w:tr>
      <w:tr w:rsidR="00DE4E82" w:rsidRPr="004A0566" w:rsidTr="004A05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</w:t>
            </w:r>
            <w:r w:rsidRPr="004A05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Подпрограмма 2</w:t>
            </w:r>
          </w:p>
        </w:tc>
      </w:tr>
      <w:tr w:rsidR="00DE4E82" w:rsidRPr="004A0566" w:rsidTr="004A05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</w:t>
            </w:r>
            <w:r w:rsidRPr="004A05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bookmarkStart w:id="20" w:name="Par429"/>
      <w:bookmarkEnd w:id="20"/>
      <w:r w:rsidRPr="004A0566">
        <w:rPr>
          <w:rFonts w:asciiTheme="majorHAnsi" w:hAnsiTheme="majorHAnsi" w:cstheme="majorHAnsi"/>
          <w:sz w:val="24"/>
          <w:szCs w:val="24"/>
        </w:rPr>
        <w:t>&lt;*&gt; В данной графе указываются наименования показателей программы, на динамику значений которых влияет данное основное мероприятие.</w:t>
      </w:r>
      <w:bookmarkStart w:id="21" w:name="Par431"/>
      <w:bookmarkEnd w:id="21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22" w:name="Par618"/>
      <w:bookmarkEnd w:id="22"/>
      <w:r w:rsidRPr="004A0566">
        <w:rPr>
          <w:rFonts w:asciiTheme="majorHAnsi" w:hAnsiTheme="majorHAnsi" w:cstheme="majorHAnsi"/>
          <w:sz w:val="24"/>
          <w:szCs w:val="24"/>
        </w:rPr>
        <w:br w:type="page"/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3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23" w:name="Par620"/>
      <w:bookmarkEnd w:id="23"/>
      <w:r w:rsidRPr="004A0566">
        <w:rPr>
          <w:rFonts w:asciiTheme="majorHAnsi" w:hAnsiTheme="majorHAnsi" w:cstheme="majorHAnsi"/>
          <w:b/>
          <w:sz w:val="24"/>
          <w:szCs w:val="24"/>
        </w:rPr>
        <w:t>РЕСУРСНОЕ ОБЕСПЕЧЕНИЕ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реализации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DE4E82" w:rsidRPr="004A0566" w:rsidTr="004A0566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Объем бюджетных ассигнований</w:t>
            </w: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Рз</w:t>
            </w:r>
            <w:proofErr w:type="spell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...</w:t>
            </w: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  <w:bookmarkStart w:id="24" w:name="Par854"/>
      <w:bookmarkEnd w:id="24"/>
      <w:r w:rsidRPr="004A0566">
        <w:rPr>
          <w:rFonts w:asciiTheme="majorHAnsi" w:hAnsiTheme="majorHAnsi" w:cstheme="majorHAnsi"/>
          <w:sz w:val="24"/>
          <w:szCs w:val="24"/>
        </w:rPr>
        <w:br w:type="page"/>
      </w: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  <w:sectPr w:rsidR="00DE4E82" w:rsidRPr="004A0566" w:rsidSect="004A0566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4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25" w:name="Par501"/>
      <w:bookmarkEnd w:id="25"/>
      <w:r w:rsidRPr="004A0566">
        <w:rPr>
          <w:rFonts w:asciiTheme="majorHAnsi" w:hAnsiTheme="majorHAnsi" w:cstheme="majorHAnsi"/>
          <w:b/>
          <w:sz w:val="24"/>
          <w:szCs w:val="24"/>
        </w:rPr>
        <w:t>ПРОГНОЗ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сводных показателей муниципальных заданий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на оказание муниципальных услуг (выполнение работ)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муниципальными учреждениями по муниципальной программе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78"/>
        <w:gridCol w:w="1804"/>
        <w:gridCol w:w="1474"/>
        <w:gridCol w:w="1588"/>
        <w:gridCol w:w="1587"/>
        <w:gridCol w:w="1587"/>
        <w:gridCol w:w="1599"/>
      </w:tblGrid>
      <w:tr w:rsidR="00DE4E82" w:rsidRPr="004A0566" w:rsidTr="004A0566">
        <w:trPr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Расходы местного бюджета на оказание муниципальной услуги (выполнение работы) (тыс. рублей)</w:t>
            </w: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Первый год реализации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Последний год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Первый год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Последний год реализации</w:t>
            </w: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  <w:r w:rsidRPr="004A0566">
        <w:rPr>
          <w:rFonts w:asciiTheme="majorHAnsi" w:hAnsiTheme="majorHAnsi" w:cstheme="majorHAnsi"/>
          <w:i/>
          <w:sz w:val="24"/>
          <w:szCs w:val="24"/>
        </w:rPr>
        <w:br w:type="page"/>
      </w: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bookmarkStart w:id="26" w:name="Par470"/>
      <w:bookmarkEnd w:id="26"/>
      <w:r w:rsidRPr="004A0566">
        <w:rPr>
          <w:rFonts w:asciiTheme="majorHAnsi" w:hAnsiTheme="majorHAnsi" w:cstheme="majorHAnsi"/>
          <w:sz w:val="24"/>
          <w:szCs w:val="24"/>
        </w:rPr>
        <w:t>Таблица 5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27" w:name="Par472"/>
      <w:bookmarkEnd w:id="27"/>
      <w:r w:rsidRPr="004A0566">
        <w:rPr>
          <w:rFonts w:asciiTheme="majorHAnsi" w:hAnsiTheme="majorHAnsi" w:cstheme="majorHAnsi"/>
          <w:b/>
          <w:sz w:val="24"/>
          <w:szCs w:val="24"/>
        </w:rPr>
        <w:t>СВЕДЕНИЯ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об основных мерах правового регулирования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в сфере реализации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6"/>
        <w:gridCol w:w="3707"/>
        <w:gridCol w:w="4473"/>
        <w:gridCol w:w="3465"/>
        <w:gridCol w:w="2063"/>
      </w:tblGrid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DE4E82" w:rsidRPr="004A0566" w:rsidTr="004A0566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8" w:name="Par481"/>
            <w:bookmarkEnd w:id="28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</w:tr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9" w:name="Par483"/>
            <w:bookmarkEnd w:id="29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</w:tr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0" w:name="Par490"/>
            <w:bookmarkEnd w:id="30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</w:tc>
      </w:tr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</w:tr>
    </w:tbl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br w:type="page"/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6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31" w:name="Par963"/>
      <w:bookmarkEnd w:id="31"/>
    </w:p>
    <w:tbl>
      <w:tblPr>
        <w:tblStyle w:val="ac"/>
        <w:tblW w:w="0" w:type="auto"/>
        <w:tblLook w:val="04A0"/>
      </w:tblPr>
      <w:tblGrid>
        <w:gridCol w:w="6490"/>
      </w:tblGrid>
      <w:tr w:rsidR="00DE4E82" w:rsidRPr="004A0566" w:rsidTr="004A0566">
        <w:tc>
          <w:tcPr>
            <w:tcW w:w="5070" w:type="dxa"/>
          </w:tcPr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«Утверждаю»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(должность руководителя ответственного исполнителя)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(подпись, расшифровка подписи)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E8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(дата утверждения)</w:t>
            </w:r>
          </w:p>
        </w:tc>
      </w:tr>
    </w:tbl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ПЛАН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реализации муниципальной программы на ________ год</w:t>
      </w:r>
    </w:p>
    <w:tbl>
      <w:tblPr>
        <w:tblW w:w="144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928"/>
        <w:gridCol w:w="1418"/>
        <w:gridCol w:w="1701"/>
        <w:gridCol w:w="2268"/>
        <w:gridCol w:w="1814"/>
        <w:gridCol w:w="2381"/>
      </w:tblGrid>
      <w:tr w:rsidR="00DE4E82" w:rsidRPr="004A0566" w:rsidTr="004A056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КБК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Объем финансирования в планируемом году (тыс. рублей)</w:t>
            </w:r>
          </w:p>
        </w:tc>
      </w:tr>
      <w:tr w:rsidR="00DE4E82" w:rsidRPr="004A0566" w:rsidTr="004A056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Мероприятие 1.1.1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Мероприятие 1.1.2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Мероприятие 1.1.3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Мероприятие 1.2.1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Мероприятие 1.2.2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Мероприятие 1.2.3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М.1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c"/>
        <w:tblW w:w="14786" w:type="dxa"/>
        <w:tblLook w:val="04A0"/>
      </w:tblPr>
      <w:tblGrid>
        <w:gridCol w:w="4928"/>
        <w:gridCol w:w="4929"/>
        <w:gridCol w:w="4929"/>
      </w:tblGrid>
      <w:tr w:rsidR="00DE4E82" w:rsidRPr="004A0566" w:rsidTr="004A0566">
        <w:tc>
          <w:tcPr>
            <w:tcW w:w="494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СОГЛАСОВАНО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(должность руководителя соисполнителя № 1)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(подпись, расшифровка подписи)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  <w:r w:rsidRPr="004A05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(дата согласования)</w:t>
            </w:r>
          </w:p>
        </w:tc>
        <w:tc>
          <w:tcPr>
            <w:tcW w:w="4925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(должность руководителя соисполнителя № 2)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(подпись, расшифровка подписи)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  <w:r w:rsidRPr="004A05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(дата согласования)</w:t>
            </w:r>
          </w:p>
        </w:tc>
        <w:tc>
          <w:tcPr>
            <w:tcW w:w="4916" w:type="dxa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 xml:space="preserve">(должность руководителя соисполнителя № </w:t>
            </w:r>
            <w:r w:rsidRPr="004A05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</w:t>
            </w: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(подпись, расшифровка подписи)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  <w:r w:rsidRPr="004A05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____________</w:t>
            </w:r>
          </w:p>
          <w:p w:rsidR="00DE4E82" w:rsidRPr="004A0566" w:rsidRDefault="00DE4E82" w:rsidP="004A05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(дата согласования)</w:t>
            </w:r>
          </w:p>
        </w:tc>
      </w:tr>
    </w:tbl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  <w:r w:rsidRPr="004A0566">
        <w:rPr>
          <w:rFonts w:asciiTheme="majorHAnsi" w:hAnsiTheme="majorHAnsi" w:cstheme="majorHAnsi"/>
          <w:sz w:val="24"/>
          <w:szCs w:val="24"/>
        </w:rPr>
        <w:br w:type="page"/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7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32" w:name="Par1099"/>
      <w:bookmarkEnd w:id="32"/>
      <w:r w:rsidRPr="004A0566">
        <w:rPr>
          <w:rFonts w:asciiTheme="majorHAnsi" w:hAnsiTheme="majorHAnsi" w:cstheme="majorHAnsi"/>
          <w:b/>
          <w:sz w:val="24"/>
          <w:szCs w:val="24"/>
        </w:rPr>
        <w:t>СВЕДЕНИЯ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 достижении значений показателей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(индикаторов) муниципальной программы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DE4E82" w:rsidRPr="004A0566" w:rsidTr="004A056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E4E82" w:rsidRPr="004A0566" w:rsidTr="004A056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факт на отчетную дату</w:t>
            </w:r>
            <w:r w:rsidRPr="004A056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&lt;</w:t>
            </w: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  <w:r w:rsidRPr="004A056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3" w:name="Par1112"/>
            <w:bookmarkEnd w:id="33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Муниципальная программа</w:t>
            </w:r>
          </w:p>
        </w:tc>
      </w:tr>
      <w:tr w:rsidR="00DE4E82" w:rsidRPr="004A0566" w:rsidTr="004A056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4" w:name="Par1127"/>
            <w:bookmarkEnd w:id="34"/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DE4E82" w:rsidRPr="004A0566" w:rsidTr="004A056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5" w:name="Par1144"/>
      <w:bookmarkEnd w:id="35"/>
      <w:r w:rsidRPr="004A0566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&lt;*&gt;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 </w:t>
      </w: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  <w:bookmarkStart w:id="36" w:name="Par1147"/>
      <w:bookmarkEnd w:id="36"/>
      <w:r w:rsidRPr="004A0566">
        <w:rPr>
          <w:rFonts w:asciiTheme="majorHAnsi" w:hAnsiTheme="majorHAnsi" w:cstheme="majorHAnsi"/>
          <w:sz w:val="24"/>
          <w:szCs w:val="24"/>
        </w:rPr>
        <w:br w:type="page"/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Таблица 8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37" w:name="Par1149"/>
      <w:bookmarkEnd w:id="37"/>
      <w:r w:rsidRPr="004A0566">
        <w:rPr>
          <w:rFonts w:asciiTheme="majorHAnsi" w:hAnsiTheme="majorHAnsi" w:cstheme="majorHAnsi"/>
          <w:b/>
          <w:sz w:val="24"/>
          <w:szCs w:val="24"/>
        </w:rPr>
        <w:t>ОТЧЕТ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об использовании бюджетных ассигнований местного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бюджета на реализацию муниципальной программы </w:t>
      </w: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DE4E82" w:rsidRPr="004A0566" w:rsidTr="004A0566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Расходы (тыс. рублей)</w:t>
            </w:r>
          </w:p>
        </w:tc>
      </w:tr>
      <w:tr w:rsidR="00DE4E82" w:rsidRPr="004A0566" w:rsidTr="004A05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Рз</w:t>
            </w:r>
            <w:proofErr w:type="spell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программе на отчет</w:t>
            </w: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softHyphen/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кассовое исполнение</w:t>
            </w:r>
          </w:p>
        </w:tc>
      </w:tr>
      <w:tr w:rsidR="00DE4E82" w:rsidRPr="004A0566" w:rsidTr="004A05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DE4E82" w:rsidRPr="004A0566" w:rsidTr="004A05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38" w:name="Par1370"/>
      <w:bookmarkEnd w:id="38"/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Таблица 9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39" w:name="Par1498"/>
      <w:bookmarkEnd w:id="39"/>
      <w:r w:rsidRPr="004A0566">
        <w:rPr>
          <w:rFonts w:asciiTheme="majorHAnsi" w:hAnsiTheme="majorHAnsi" w:cstheme="majorHAnsi"/>
          <w:b/>
          <w:sz w:val="24"/>
          <w:szCs w:val="24"/>
        </w:rPr>
        <w:lastRenderedPageBreak/>
        <w:t>ОТЧЕТ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о выполнении сводных показателей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муниципальных заданий на оказание муниципальных услуг (выполнение работ)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 xml:space="preserve">муниципальными учреждениями по муниципальной программе </w:t>
      </w:r>
    </w:p>
    <w:tbl>
      <w:tblPr>
        <w:tblW w:w="0" w:type="auto"/>
        <w:tblInd w:w="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5245"/>
        <w:gridCol w:w="1134"/>
        <w:gridCol w:w="1077"/>
        <w:gridCol w:w="2230"/>
        <w:gridCol w:w="2505"/>
        <w:gridCol w:w="1814"/>
      </w:tblGrid>
      <w:tr w:rsidR="00DE4E82" w:rsidRPr="004A0566" w:rsidTr="004A0566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Расходы местного бюджета на оказание муниципальной услуги (тыс. рублей)</w:t>
            </w:r>
          </w:p>
        </w:tc>
      </w:tr>
      <w:tr w:rsidR="00DE4E82" w:rsidRPr="004A0566" w:rsidTr="004A0566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факт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b/>
                <w:sz w:val="24"/>
                <w:szCs w:val="24"/>
              </w:rPr>
              <w:t>кассовое исполнение</w:t>
            </w: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Основное мероприятие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E82" w:rsidRPr="004A0566" w:rsidTr="004A05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056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E4E82" w:rsidRPr="004A0566" w:rsidRDefault="00DE4E82" w:rsidP="004A05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40" w:name="Par1610"/>
      <w:bookmarkEnd w:id="40"/>
      <w:r w:rsidRPr="004A0566">
        <w:rPr>
          <w:rFonts w:asciiTheme="majorHAnsi" w:hAnsiTheme="majorHAnsi" w:cstheme="majorHAnsi"/>
          <w:sz w:val="24"/>
          <w:szCs w:val="24"/>
        </w:rPr>
        <w:t>Согласовано: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Финансовый отдел администрации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района _______________________</w:t>
      </w:r>
    </w:p>
    <w:p w:rsidR="00DE4E82" w:rsidRPr="004A0566" w:rsidRDefault="00DE4E82" w:rsidP="00DE4E8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A0566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               подпись</w:t>
      </w: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  <w:sectPr w:rsidR="00DE4E82" w:rsidRPr="004A0566" w:rsidSect="004A0566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E876E5" w:rsidRDefault="00DE4E82" w:rsidP="00DE4E82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Theme="majorHAnsi" w:hAnsiTheme="majorHAnsi" w:cstheme="majorHAnsi"/>
          <w:sz w:val="24"/>
          <w:szCs w:val="24"/>
        </w:rPr>
      </w:pPr>
      <w:bookmarkStart w:id="41" w:name="Par1706"/>
      <w:bookmarkEnd w:id="41"/>
      <w:r w:rsidRPr="00E876E5">
        <w:rPr>
          <w:rFonts w:asciiTheme="majorHAnsi" w:hAnsiTheme="majorHAnsi" w:cstheme="majorHAnsi"/>
          <w:sz w:val="24"/>
          <w:szCs w:val="24"/>
        </w:rPr>
        <w:t>Приложение № 4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к Порядку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разработки, реализации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и оценки эффективности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left="6096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муниципальных 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МЕТОДИЧЕСКИЕ РЕКОМЕНДАЦИИ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по оценке эффективности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2" w:name="Par1716"/>
      <w:bookmarkEnd w:id="42"/>
      <w:r w:rsidRPr="004A0566">
        <w:rPr>
          <w:rFonts w:asciiTheme="majorHAnsi" w:hAnsiTheme="majorHAnsi" w:cstheme="majorHAnsi"/>
          <w:b/>
          <w:sz w:val="24"/>
          <w:szCs w:val="24"/>
        </w:rPr>
        <w:t>I. Общие положения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1.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2. Оценка эффективности муниципальной программы производится с учетом оценки: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степени достижения целей и решения задач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степени достижения целей и решения задач подпрограмм, входящих в муниципальную программу;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степени реализации основных мероприятий и достижения ожидаемых непосредственных результатов их реализации (далее – оценка степени реализации мероприятий);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степени соответствия запланированному уровню затрат;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эффективности использования средств местного бюджета.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 Оценка эффективности реализации муниципальных программ осуществляется в два этапа.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3.1. 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местного бюджета.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3.2. 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4. 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3" w:name="Par1729"/>
      <w:bookmarkEnd w:id="43"/>
      <w:r w:rsidRPr="004A0566">
        <w:rPr>
          <w:rFonts w:asciiTheme="majorHAnsi" w:hAnsiTheme="majorHAnsi" w:cstheme="majorHAnsi"/>
          <w:b/>
          <w:sz w:val="24"/>
          <w:szCs w:val="24"/>
        </w:rPr>
        <w:t>II. Оценка степени реализации мероприятий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5. 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СР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м</w:t>
      </w:r>
      <w:r w:rsidRPr="004A0566">
        <w:rPr>
          <w:rFonts w:asciiTheme="majorHAnsi" w:hAnsiTheme="majorHAnsi" w:cstheme="majorHAnsi"/>
          <w:sz w:val="24"/>
          <w:szCs w:val="24"/>
        </w:rPr>
        <w:t>=М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в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/М,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СР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м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мероприятий;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в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М – общее количество мероприятий, запланированных к реализации в отчетном году.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6. 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95 % от запланированного и не ниже,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4" w:name="Par1744"/>
      <w:bookmarkEnd w:id="44"/>
      <w:r w:rsidRPr="004A0566">
        <w:rPr>
          <w:rFonts w:asciiTheme="majorHAnsi" w:hAnsiTheme="majorHAnsi" w:cstheme="majorHAnsi"/>
          <w:b/>
          <w:sz w:val="24"/>
          <w:szCs w:val="24"/>
        </w:rPr>
        <w:t>III. Оценка степени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соответствия запланированному уровню затрат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7. Степень соответствия запланированному уровню затрат оценивается для каждой подпрограммы по соответствующей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7.1. 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r w:rsidRPr="004A0566">
        <w:rPr>
          <w:rFonts w:asciiTheme="majorHAnsi" w:hAnsiTheme="majorHAnsi" w:cstheme="majorHAnsi"/>
          <w:sz w:val="24"/>
          <w:szCs w:val="24"/>
        </w:rPr>
        <w:t>=З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  <w:vertAlign w:val="subscript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соответствия запланированному уровню расходов;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предусмотренные муниципальной программой в редакции на 31 декабря отчетного года расходы на реализацию подпрограммы в отчетном году;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– фактически произведенные кассовые расходы на реализацию подпрограммы в отчетном году.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7.2. Степень соответствия запланированному уровню затрат для подпрограммы, содержащей мероприятия, осуществляемые исключительно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r w:rsidRPr="004A0566">
        <w:rPr>
          <w:rFonts w:asciiTheme="majorHAnsi" w:hAnsiTheme="majorHAnsi" w:cstheme="majorHAnsi"/>
          <w:sz w:val="24"/>
          <w:szCs w:val="24"/>
        </w:rPr>
        <w:t>=МБ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  <w:vertAlign w:val="subscript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соответствия запланированному уровню расходов;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7.3. 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  <w:vertAlign w:val="subscript"/>
        </w:rPr>
      </w:pPr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r w:rsidRPr="004A0566">
        <w:rPr>
          <w:rFonts w:asciiTheme="majorHAnsi" w:hAnsiTheme="majorHAnsi" w:cstheme="majorHAnsi"/>
          <w:sz w:val="24"/>
          <w:szCs w:val="24"/>
        </w:rPr>
        <w:t>=0,5*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r w:rsidRPr="004A0566">
        <w:rPr>
          <w:rFonts w:asciiTheme="majorHAnsi" w:hAnsiTheme="majorHAnsi" w:cstheme="majorHAnsi"/>
          <w:sz w:val="24"/>
          <w:szCs w:val="24"/>
        </w:rPr>
        <w:t>+0,5*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  <w:vertAlign w:val="subscript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соответствия запланированному уровню расходов;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предусмотренные муниципальной программой в редакции на 31 декабря отчетного года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– фактически произведенные кассовые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МБ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DE4E82" w:rsidRPr="004A0566" w:rsidRDefault="00DE4E82" w:rsidP="00DE4E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5" w:name="Par1757"/>
      <w:bookmarkEnd w:id="45"/>
      <w:r w:rsidRPr="004A0566">
        <w:rPr>
          <w:rFonts w:asciiTheme="majorHAnsi" w:hAnsiTheme="majorHAnsi" w:cstheme="majorHAnsi"/>
          <w:b/>
          <w:sz w:val="24"/>
          <w:szCs w:val="24"/>
        </w:rPr>
        <w:t>IV. Оценка эффективности использования</w:t>
      </w: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средств местного бюджета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8. 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Э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ис</w:t>
      </w:r>
      <w:r w:rsidRPr="004A0566">
        <w:rPr>
          <w:rFonts w:asciiTheme="majorHAnsi" w:hAnsiTheme="majorHAnsi" w:cstheme="majorHAnsi"/>
          <w:sz w:val="24"/>
          <w:szCs w:val="24"/>
        </w:rPr>
        <w:t>=СР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м</w:t>
      </w:r>
      <w:r w:rsidRPr="004A0566">
        <w:rPr>
          <w:rFonts w:asciiTheme="majorHAnsi" w:hAnsiTheme="majorHAnsi" w:cstheme="majorHAnsi"/>
          <w:sz w:val="24"/>
          <w:szCs w:val="24"/>
        </w:rPr>
        <w:t>-СС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Э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ис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эффективность использования средств местного бюджета;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СР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м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мероприятий;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СС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уз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соответствия запланированному уровню расходов.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При этом если значение 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Э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ис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0,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1;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-0,1, но менее 0,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0,9;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-0,2, но менее -0,1,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0,8;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-0,3, но менее -0,2,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0,7;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-0,4, но менее -0,3,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0,6;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не менее -0,5, но менее -0,4,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0,5;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менее -0,5, то оно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0.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6" w:name="Par1769"/>
      <w:bookmarkEnd w:id="46"/>
      <w:r w:rsidRPr="004A0566">
        <w:rPr>
          <w:rFonts w:asciiTheme="majorHAnsi" w:hAnsiTheme="majorHAnsi" w:cstheme="majorHAnsi"/>
          <w:b/>
          <w:sz w:val="24"/>
          <w:szCs w:val="24"/>
        </w:rPr>
        <w:t>V. Оценка степени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достижения целей и решения задач подпрограмм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9. Для оценки степени достижения целей и решения задач</w:t>
      </w:r>
      <w:r w:rsidRPr="004A0566">
        <w:rPr>
          <w:rFonts w:asciiTheme="majorHAnsi" w:hAnsiTheme="majorHAnsi" w:cstheme="majorHAnsi"/>
          <w:sz w:val="24"/>
          <w:szCs w:val="24"/>
        </w:rPr>
        <w:br/>
        <w:t>(далее –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10. Степень достижения планового значения показателя (индикатора) рассчитывается по следующим формулам: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vertAlign w:val="subscript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СД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ппз</w:t>
      </w:r>
      <w:r w:rsidRPr="004A0566">
        <w:rPr>
          <w:rFonts w:asciiTheme="majorHAnsi" w:hAnsiTheme="majorHAnsi" w:cstheme="majorHAnsi"/>
          <w:sz w:val="24"/>
          <w:szCs w:val="24"/>
        </w:rPr>
        <w:t>=ЗП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/пФ</w:t>
      </w:r>
      <w:r w:rsidRPr="004A056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</w:t>
      </w:r>
      <w:proofErr w:type="spellEnd"/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СД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ппз</w:t>
      </w:r>
      <w:r w:rsidRPr="004A0566">
        <w:rPr>
          <w:rFonts w:asciiTheme="majorHAnsi" w:hAnsiTheme="majorHAnsi" w:cstheme="majorHAnsi"/>
          <w:sz w:val="24"/>
          <w:szCs w:val="24"/>
        </w:rPr>
        <w:t>=ЗП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>,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СД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ппз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– степень достижения планового значения показателя (индикатора), характеризующего цели и задачи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пф</w:t>
      </w:r>
      <w:proofErr w:type="spellEnd"/>
      <w:r w:rsidRPr="004A0566">
        <w:rPr>
          <w:rFonts w:asciiTheme="majorHAnsi" w:hAnsiTheme="majorHAnsi" w:cstheme="majorHAnsi"/>
          <w:sz w:val="24"/>
          <w:szCs w:val="24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0566">
        <w:rPr>
          <w:rFonts w:asciiTheme="majorHAnsi" w:hAnsiTheme="majorHAnsi" w:cstheme="majorHAnsi"/>
          <w:sz w:val="24"/>
          <w:szCs w:val="24"/>
        </w:rPr>
        <w:t>ЗП</w:t>
      </w:r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/</w:t>
      </w:r>
      <w:proofErr w:type="spellStart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>пп</w:t>
      </w:r>
      <w:proofErr w:type="spellEnd"/>
      <w:r w:rsidRPr="004A0566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Pr="004A0566">
        <w:rPr>
          <w:rFonts w:asciiTheme="majorHAnsi" w:hAnsiTheme="majorHAnsi" w:cstheme="majorHAnsi"/>
          <w:sz w:val="24"/>
          <w:szCs w:val="24"/>
        </w:rPr>
        <w:t>– плановое значение показателя (индикатора), характеризующего цели и задачи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11. Степень реализации подпрограммы рассчитывается по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1550670" cy="47561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11810" cy="2635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При использовании данной формулы в случаях, если </w:t>
      </w: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753745" cy="2635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, значение </w:t>
      </w: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11810" cy="2635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1.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7" w:name="Par1801"/>
      <w:bookmarkEnd w:id="47"/>
      <w:r w:rsidRPr="004A0566">
        <w:rPr>
          <w:rFonts w:asciiTheme="majorHAnsi" w:hAnsiTheme="majorHAnsi" w:cstheme="majorHAnsi"/>
          <w:b/>
          <w:sz w:val="24"/>
          <w:szCs w:val="24"/>
        </w:rPr>
        <w:t>VI. Оценка эффективности реализации подпрограммы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12. 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1346200" cy="2635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эффективность реализации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63525" cy="24892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эффективность использования средств местного бюджета.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13. Эффективность реализации подпрограммы признается высокой в случае, если значение </w:t>
      </w: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0,9.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Эффективность реализации подпрограммы признается средней в случае, если значение </w:t>
      </w: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0,8.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0,7.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8" w:name="Par1816"/>
      <w:bookmarkEnd w:id="48"/>
      <w:r w:rsidRPr="004A0566">
        <w:rPr>
          <w:rFonts w:asciiTheme="majorHAnsi" w:hAnsiTheme="majorHAnsi" w:cstheme="majorHAnsi"/>
          <w:b/>
          <w:sz w:val="24"/>
          <w:szCs w:val="24"/>
        </w:rPr>
        <w:lastRenderedPageBreak/>
        <w:t>VII. Оценка степени достижения целей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и решения задач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13.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14.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1543685" cy="2635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для показателей (индикаторов), желаемой тенденцией развития которых является снижение значений: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1521460" cy="2635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5615" cy="2489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4180" cy="2635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2590" cy="2489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15. Степень реализации муниципальной программы рассчитывается по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1470660" cy="47561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3380" cy="24892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5615" cy="2489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M - число показателей (индикаторов), характеризующих цели и задачи муниципальной программы.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При использовании данной формулы в случаях, если </w:t>
      </w: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709295" cy="24892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, значение </w:t>
      </w: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5615" cy="24892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принимается </w:t>
      </w:r>
      <w:proofErr w:type="gramStart"/>
      <w:r w:rsidRPr="004A0566">
        <w:rPr>
          <w:rFonts w:asciiTheme="majorHAnsi" w:hAnsiTheme="majorHAnsi" w:cstheme="majorHAnsi"/>
          <w:sz w:val="24"/>
          <w:szCs w:val="24"/>
        </w:rPr>
        <w:t>равным</w:t>
      </w:r>
      <w:proofErr w:type="gramEnd"/>
      <w:r w:rsidRPr="004A0566">
        <w:rPr>
          <w:rFonts w:asciiTheme="majorHAnsi" w:hAnsiTheme="majorHAnsi" w:cstheme="majorHAnsi"/>
          <w:sz w:val="24"/>
          <w:szCs w:val="24"/>
        </w:rPr>
        <w:t xml:space="preserve"> 1.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49" w:name="Par1848"/>
      <w:bookmarkEnd w:id="49"/>
      <w:r w:rsidRPr="004A0566">
        <w:rPr>
          <w:rFonts w:asciiTheme="majorHAnsi" w:hAnsiTheme="majorHAnsi" w:cstheme="majorHAnsi"/>
          <w:b/>
          <w:sz w:val="24"/>
          <w:szCs w:val="24"/>
        </w:rPr>
        <w:t>VIII. Оценка эффективности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0566">
        <w:rPr>
          <w:rFonts w:asciiTheme="majorHAnsi" w:hAnsiTheme="majorHAnsi" w:cstheme="majorHAnsi"/>
          <w:b/>
          <w:sz w:val="24"/>
          <w:szCs w:val="24"/>
        </w:rPr>
        <w:t>реализации муниципальной программы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16.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6792" cy="475488"/>
            <wp:effectExtent l="0" t="0" r="2108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2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где: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43535" cy="24892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эффективность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3380" cy="24892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степень реализации муниципальной 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2590" cy="2635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эффективность реализации подпрограммы;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82880" cy="2635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– коэффициент значимости подпрограммы для достижения целей муниципальной программы (определяется в составе подпрограммы,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ajorHAnsi" w:cstheme="majorHAnsi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HAnsi" w:cstheme="majorHAnsi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 w:cstheme="majorHAnsi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 w:cstheme="majorHAnsi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Theme="majorHAnsi" w:cstheme="majorHAnsi"/>
                <w:sz w:val="24"/>
                <w:szCs w:val="24"/>
              </w:rPr>
              <m:t>=1</m:t>
            </m:r>
          </m:e>
        </m:nary>
      </m:oMath>
      <w:r w:rsidRPr="004A0566">
        <w:rPr>
          <w:rFonts w:asciiTheme="majorHAnsi" w:eastAsiaTheme="minorEastAsia" w:hAnsiTheme="majorHAnsi" w:cstheme="majorHAnsi"/>
          <w:sz w:val="24"/>
          <w:szCs w:val="24"/>
        </w:rPr>
        <w:t>)</w:t>
      </w:r>
      <w:r w:rsidRPr="004A0566">
        <w:rPr>
          <w:rFonts w:asciiTheme="majorHAnsi" w:hAnsiTheme="majorHAnsi" w:cstheme="majorHAnsi"/>
          <w:sz w:val="24"/>
          <w:szCs w:val="24"/>
        </w:rPr>
        <w:t>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17. Эффективность реализации муниципальной программы признается высокой, если значение </w:t>
      </w: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43535" cy="24892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0,90.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Эффективность реализации муниципальной программы признается средней, если значение </w:t>
      </w: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43535" cy="24892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0,80.</w:t>
      </w:r>
    </w:p>
    <w:p w:rsidR="00DE4E82" w:rsidRPr="004A0566" w:rsidRDefault="00DE4E82" w:rsidP="00DE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 xml:space="preserve">Эффективность реализации муниципальной программы признается удовлетворительной, если значение </w:t>
      </w:r>
      <w:r w:rsidRPr="004A0566">
        <w:rPr>
          <w:rFonts w:asciiTheme="majorHAnsi" w:hAnsiTheme="majorHAnsi" w:cstheme="majorHAns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43535" cy="24892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566">
        <w:rPr>
          <w:rFonts w:asciiTheme="majorHAnsi" w:hAnsiTheme="majorHAnsi" w:cstheme="majorHAnsi"/>
          <w:sz w:val="24"/>
          <w:szCs w:val="24"/>
        </w:rPr>
        <w:t xml:space="preserve"> составляет не менее 0,70.</w:t>
      </w:r>
    </w:p>
    <w:p w:rsidR="00DE4E82" w:rsidRPr="004A0566" w:rsidRDefault="00DE4E82" w:rsidP="00DE4E82">
      <w:pPr>
        <w:rPr>
          <w:rFonts w:asciiTheme="majorHAnsi" w:hAnsiTheme="majorHAnsi" w:cstheme="majorHAnsi"/>
          <w:sz w:val="24"/>
          <w:szCs w:val="24"/>
        </w:rPr>
      </w:pPr>
      <w:r w:rsidRPr="004A0566">
        <w:rPr>
          <w:rFonts w:asciiTheme="majorHAnsi" w:hAnsiTheme="majorHAnsi" w:cstheme="majorHAnsi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</w:p>
    <w:p w:rsidR="001858F4" w:rsidRPr="004A0566" w:rsidRDefault="001858F4">
      <w:pPr>
        <w:rPr>
          <w:rFonts w:asciiTheme="majorHAnsi" w:hAnsiTheme="majorHAnsi" w:cstheme="majorHAnsi"/>
          <w:sz w:val="24"/>
          <w:szCs w:val="24"/>
        </w:rPr>
      </w:pPr>
    </w:p>
    <w:sectPr w:rsidR="001858F4" w:rsidRPr="004A0566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66" w:rsidRDefault="004A05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;mso-wrap-style:square" o:bullet="t">
        <v:imagedata r:id="rId1" o:title=""/>
      </v:shape>
    </w:pict>
  </w:numPicBullet>
  <w:abstractNum w:abstractNumId="0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4E82"/>
    <w:rsid w:val="001858F4"/>
    <w:rsid w:val="003A09B9"/>
    <w:rsid w:val="004476E9"/>
    <w:rsid w:val="004A0566"/>
    <w:rsid w:val="00AA57CE"/>
    <w:rsid w:val="00DE4E82"/>
    <w:rsid w:val="00E3737F"/>
    <w:rsid w:val="00E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"/>
    <w:rsid w:val="00DE4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E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4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4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DE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E82"/>
  </w:style>
  <w:style w:type="paragraph" w:styleId="a7">
    <w:name w:val="footer"/>
    <w:basedOn w:val="a"/>
    <w:link w:val="a8"/>
    <w:uiPriority w:val="99"/>
    <w:semiHidden/>
    <w:unhideWhenUsed/>
    <w:rsid w:val="00DE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82"/>
  </w:style>
  <w:style w:type="paragraph" w:styleId="a9">
    <w:name w:val="Balloon Text"/>
    <w:basedOn w:val="a"/>
    <w:link w:val="aa"/>
    <w:uiPriority w:val="99"/>
    <w:semiHidden/>
    <w:unhideWhenUsed/>
    <w:rsid w:val="00D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E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4E82"/>
  </w:style>
  <w:style w:type="table" w:styleId="ab">
    <w:name w:val="Table Grid"/>
    <w:basedOn w:val="a1"/>
    <w:uiPriority w:val="59"/>
    <w:rsid w:val="00DE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E4E82"/>
    <w:rPr>
      <w:color w:val="0000FF" w:themeColor="hyperlink"/>
      <w:u w:val="single"/>
    </w:rPr>
  </w:style>
  <w:style w:type="paragraph" w:styleId="ad">
    <w:name w:val="No Spacing"/>
    <w:uiPriority w:val="1"/>
    <w:qFormat/>
    <w:rsid w:val="00DE4E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5" Type="http://schemas.openxmlformats.org/officeDocument/2006/relationships/header" Target="header1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footer" Target="footer3.xm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2015-11-05T05:13:00Z</dcterms:created>
  <dcterms:modified xsi:type="dcterms:W3CDTF">2015-11-05T05:31:00Z</dcterms:modified>
</cp:coreProperties>
</file>